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176dde" w:space="1" w:sz="20" w:val="single"/>
        </w:pBdr>
        <w:spacing w:after="6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176dde" w:space="1" w:sz="20" w:val="single"/>
        </w:pBdr>
        <w:spacing w:after="6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72"/>
          <w:szCs w:val="72"/>
          <w:rtl w:val="0"/>
        </w:rPr>
        <w:t xml:space="preserve">Szablon RFP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36"/>
          <w:szCs w:val="36"/>
          <w:rtl w:val="0"/>
        </w:rPr>
        <w:t xml:space="preserve">System do weryfikacji tożsamości klientów (eKYC)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4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22"/>
          <w:szCs w:val="22"/>
          <w:rtl w:val="0"/>
        </w:rPr>
        <w:t xml:space="preserve">Request for Proposal </w:t>
      </w:r>
      <w:r w:rsidDel="00000000" w:rsidR="00000000" w:rsidRPr="00000000">
        <w:rPr>
          <w:color w:val="999999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22"/>
          <w:szCs w:val="22"/>
          <w:rtl w:val="0"/>
        </w:rPr>
        <w:t xml:space="preserve"> wzór dokumentu przetargowego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"/>
        <w:gridCol w:w="8826"/>
        <w:tblGridChange w:id="0">
          <w:tblGrid>
            <w:gridCol w:w="200"/>
            <w:gridCol w:w="8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6">
            <w:pPr>
              <w:spacing w:after="12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4ff" w:val="clear"/>
            <w:tcMar>
              <w:top w:w="180.0" w:type="dxa"/>
              <w:left w:w="240.0" w:type="dxa"/>
              <w:bottom w:w="180.0" w:type="dxa"/>
              <w:right w:w="240.0" w:type="dxa"/>
            </w:tcMar>
          </w:tcPr>
          <w:p w:rsidR="00000000" w:rsidDel="00000000" w:rsidP="00000000" w:rsidRDefault="00000000" w:rsidRPr="00000000" w14:paraId="00000007">
            <w:pPr>
              <w:spacing w:after="10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22"/>
                <w:szCs w:val="22"/>
                <w:rtl w:val="0"/>
              </w:rPr>
              <w:t xml:space="preserve">Jak korzystać z tego dokumentu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0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Wypełnij sekcje 1-6 swoimi wymaganiami organizacyjnymi, a następnie wyślij ten dokument do wybranych dostawców systemu KYC. Sekcja 7 (arkusz scoringowy) służy do porównania otrzymanych odpowiedzi.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0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Pola do uzupełnienia przez Twoją organizację zaznaczone są jasnoszarym tłem. Pola przeznaczone dla dostawcy zaznaczone są tłem o takim samym kolorze z oznaczeniem.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Szablon do pobrania: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76dde"/>
                <w:sz w:val="19"/>
                <w:szCs w:val="19"/>
                <w:u w:val="single"/>
                <w:rtl w:val="0"/>
              </w:rPr>
              <w:t xml:space="preserve">autenti.com/rfp-system-kyc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64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6026"/>
        <w:tblGridChange w:id="0">
          <w:tblGrid>
            <w:gridCol w:w="3000"/>
            <w:gridCol w:w="6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Organizacja / 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Wpisz nazwę organizacji...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Osoba kontaktowa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Imię, nazwisko, stanowisko...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Data wysłania RFP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DD.MM.RRRR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Termin składania ofert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DD.MM.RRRR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Adres do korespondencji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e-mail lub adres pocztowy...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36"/>
          <w:szCs w:val="36"/>
          <w:rtl w:val="0"/>
        </w:rPr>
        <w:t xml:space="preserve">Jak korzystać z szablonu RFP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176dde" w:space="2" w:sz="8" w:val="single"/>
        </w:pBdr>
        <w:spacing w:after="60" w:before="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29333d"/>
          <w:sz w:val="20"/>
          <w:szCs w:val="20"/>
          <w:rtl w:val="0"/>
        </w:rPr>
        <w:t xml:space="preserve">Ten dokument to formalne zaproszenie do składania ofert (RFP) na system do zdalnej weryfikacji tożsamości klientów (eKYC). Jego celem jest zebranie porównywalnych ofert od kilku dostawców na podstawie ustrukturyzowanych wymagań.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2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2"/>
          <w:szCs w:val="22"/>
          <w:rtl w:val="0"/>
        </w:rPr>
        <w:t xml:space="preserve">Kroki do wykonania</w:t>
      </w: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6495"/>
        <w:tblGridChange w:id="0">
          <w:tblGrid>
            <w:gridCol w:w="2535"/>
            <w:gridCol w:w="6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Krok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 robisz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1. Wypełnij sekcje 1-6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Uzupełnij pola zaznaczone szarym tłem: kontekst organizacyjny, wymagania regulacyjne, funkcjonalne, techniczne, SLA, bezpieczeństwo danych. Im bardziej szczegółowo, tym lepiej.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2. Wyślij do dostawców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Wyślij wypełniony dokument do minimum 2-3 dostawców systemu eKYC. Poproś o uzupełnienie kolumn "Odpowiedź dostawcy" i zwrot dokumentu w terminie wskazanym na stronie tytułowej.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3. Oceń odpowiedzi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Użyj arkusza scoringowego (Sekcja 7) do porównania ofert. Oceń każde kryterium w skali 1-5, pomnóż przez wagę i zsumuj wyniki dla każdego dostawcy.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4. Przeprowadź PoC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Przed podpisaniem umowy wymagaj proof of concept na realnych danych. Sekcja 8 zawiera gotową klauzulę PoC do włączenia do umowy lub osobnego porozumienia.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before="2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2"/>
          <w:szCs w:val="22"/>
          <w:rtl w:val="0"/>
        </w:rPr>
        <w:t xml:space="preserve">Konwencje dokumentu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0"/>
        <w:gridCol w:w="6826"/>
        <w:tblGridChange w:id="0">
          <w:tblGrid>
            <w:gridCol w:w="2200"/>
            <w:gridCol w:w="6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Oznaczenie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Znaczenie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Szare tło pola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Pole do wypełnienia przez Twoją organizację przed wysłaniem RFP.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Kolumna "Odpowiedź dostawcy"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Pole do uzupełnienia przez dostawcę po otrzymaniu dokumentu.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Wymaganie obowiązkowe. Niespełnienie dyskwalifikuje ofertę.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Wymaganie preferowane. Brak nie dyskwalifikuje, ale obniża scoring.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□ (pole wyboru)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Zaznacz TAK lub NIE; w kolumnie Komentarz wpisz szczegóły lub ograniczenia.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left w:color="176dde" w:space="8" w:sz="20" w:val="single"/>
        </w:pBd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19"/>
          <w:szCs w:val="19"/>
          <w:rtl w:val="0"/>
        </w:rPr>
        <w:t xml:space="preserve">Wskazówka:  </w:t>
      </w:r>
      <w:r w:rsidDel="00000000" w:rsidR="00000000" w:rsidRPr="00000000">
        <w:rPr>
          <w:rFonts w:ascii="Arial" w:cs="Arial" w:eastAsia="Arial" w:hAnsi="Arial"/>
          <w:b w:val="0"/>
          <w:bCs w:val="0"/>
          <w:color w:val="29333d"/>
          <w:sz w:val="19"/>
          <w:szCs w:val="19"/>
          <w:rtl w:val="0"/>
        </w:rPr>
        <w:t xml:space="preserve">Przed wysłaniem RFP zalecamy przeczytanie artykułu "Jak wybrać system do zdalnej weryfikacji tożsamości klientów - 7 kryteriów wyboru" (autenti.com/blog/jak-wybrac-system-weryfikacji-tozsamosci). Pomoże doprecyzować wymagania.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1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Kontekst organizacyjny i zakres procesu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Uzupełnij poniższe informacje. Pomogą dostawcy przygotować trafną ofertę.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5826"/>
        <w:tblGridChange w:id="0">
          <w:tblGrid>
            <w:gridCol w:w="3200"/>
            <w:gridCol w:w="5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Twoja odpowiedź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Pełna nazwa organizacji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Wpisz...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Branża / sektor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leasing, fintech, ubezpieczenia, HR...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Czy organizacja jest instytucją obowiązaną wg ustawy AML?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NIE / CZĘŚCIOWO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Szacowany miesięczny wolumen weryfikacji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500-1000 weryfikacji / miesiąc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Szacowany roczny wolumen weryfikacji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6 000-12 000 weryfikacji / rok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Obecne rozwiązanie do weryfikacji (jeśli dotyczy)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Nazwa systemu lub "brak"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Powód zmiany / wdrożenia nowego systemu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Opisz krótko...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Systemy wymagające integracji (CRM, LOS, backoffice)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Wymień systemy i podaj technologię (np. REST API, webhook)...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Planowana data wdrożenia / go-live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Q3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Typ weryfikowanych osób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osoby fizyczne (B2C) / reprezentanci firm (B2B) / oboje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Czy system ma obsługiwać klientów zagranicznych?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NIE; jeśli TAK, podaj kraje...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Wymagany poziom pewności (LoA wg eIDAS)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Niski / Znaczny (Substantial) / Wysoki (High) / Nie wiem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Preferowany model rozliczenia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per weryfikacja / abonament / hybrydowy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Budżet (opcjonalnie)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Podaj przedział lub pozostaw puste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2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Wymagania regulacyjne i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Zaznacz TAK lub NIE dla każdego wymagania. W kolumnie Komentarz dodaj szczegóły, numery certyfikatów lub zastrzeżenia. Wymagania oznaczone (*) są obowiązkowe dla instytucji obowiązanych wg ustawy AML.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700"/>
        <w:gridCol w:w="700"/>
        <w:gridCol w:w="3126"/>
        <w:tblGridChange w:id="0">
          <w:tblGrid>
            <w:gridCol w:w="4500"/>
            <w:gridCol w:w="700"/>
            <w:gridCol w:w="700"/>
            <w:gridCol w:w="3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Wymaganie regulacyjne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Komentarz / szczegóły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Ustawa AML / Przeciwdziałanie praniu pieniędzy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Dostawca potwierdza zgodność z ustawą z dn. 1 marca 2018 r. o przeciwdziałaniu praniu pieniędzy i finansowaniu terroryzmu (Dz.U. 2018 poz. 723 z późn. zm.)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System umożliwia pełną identyfikację klienta wymaganą przez art. 34 ust. 1 ustawy AML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Raport weryfikacji spełnia wymogi dokumentacji procesu KYC określone przez regulatora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posiada doświadczenie we wdrożeniach dla instytucji obowiązanych (banki, leasing, fintech)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Rozporządzenie eIDAS (UE 910/2014) i eIDAS 2.0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obsługuje weryfikację na poziomie pewności "Substantial" (Znaczny) wg eIDAS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obsługuje weryfikację na poziomie pewności "High" (Wysoki) wg eIDAS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posiada akredytację jako zaufany dostawca eIDAS lub współpracuje z akredytowanym dostawcą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RODO / GDPR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Dane osobowe przetwarzane wyłącznie na terenie Europejskiego Obszaru Gospodarczego (EOG)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Dostawca jest gotowy podpisać umowę powierzenia przetwarzania danych (art. 28 RODO)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8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Dostawca posiada udokumentowaną politykę retencji danych biometrycznych (nie dłużej niż wymagane)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umożliwia obsługę żądań praw podmiotów danych (prawo do usunięcia, dostępu, sprostowania)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Regulacje sektorowe i certyfikaty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posiada certyfikat ISO/IEC 27001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posiada certyfikat SOC 2 Type II lub równoważny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spełnia wymagania KNF dotyczące zdalnej identyfikacji klienta (jeśli dotyczy sektora finansowego)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regularnie przeprowadza audyty zewnętrzne bezpieczeństwa (penetration testing)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jest w stanie przedłożyć wyniki ostatniego audytu bezpieczeństwa na żądanie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ograniczenia...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3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Wymagania funkcjonalne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Dostawca wypełnia kolumnę "Odpowiedź dostawcy". Wymagania TWARDE są obowiązkowe. Wymagania MIĘKKIE są preferowane - brak obniża scoring.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0"/>
        <w:gridCol w:w="1100"/>
        <w:gridCol w:w="3526"/>
        <w:tblGridChange w:id="0">
          <w:tblGrid>
            <w:gridCol w:w="4400"/>
            <w:gridCol w:w="1100"/>
            <w:gridCol w:w="3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Wymaganie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Priorytet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Odpowiedź dostawcy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Metody weryfikacji tożsamości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Wideoweryfikacja z analizą dokumentu tożsamości i selfie (liveness check)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Weryfikacja przez bankowość elektroniczną (Authologic, Kontomatik lub równoważne)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B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Weryfikacja przez profil zaufany (ePUAP/mObywatel)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Weryfikacja przez e-dowód (odczyt warstwy elektronicznej NFC)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Możliwość doboru metody weryfikacji per segment klienta lub per proces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Obsługa fallback: automatyczne przełączenie na alternatywną metodę przy niepowodzeniu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C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Raport weryfikacji i ścieżka audytowa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Każda weryfikacja generuje raport PDF z pełną ścieżką audytową (timestamp, metoda, wynik, ID sesji)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Raport zawiera zdjęcie dokumentu tożsamości z widoczną datą i godziną weryfikacji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Raport jest zabezpieczony kwalifikowaną pieczęcią elektroniczną lub podpisem kwalifikowanym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Raporty przechowywane przez min. 5 lat lub dłużej zgodnie z wymogami AML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Możliwość eksportu raportów zbiorczo (API lub panel administracyjny)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D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UX i ścieżka klienta końcowego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Ścieżka weryfikacji w pełni mobilna (iOS, Android) bez instalacji aplikacji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Interfejs w języku polskim jako domyślny; opcjonalnie w języku angielskim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Typowy czas weryfikacji (mediana) poniżej 3 minut na standardowym urządzeniu mobilnym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Ścieżka weryfikacji może być konfigurowana wizualnie (logo, kolory organizacji - white label)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Wskaźnik completion rate w segmencie B2C przekracza 85% (potwierdzone benchmarkami dostawcy)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E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Eskalacja i przypadki nieudane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obsługuje manualną weryfikację przez operatora jako ścieżkę eskalacyjną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Organizacja może konfigurować progi akceptacji / odrzucenia weryfikacji (confidence threshold)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notyfikuje o weryfikacjach wymagających przeglądu manualnego (alerty, kolejka)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4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Wymagania techniczne i integracyjne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Kolumnę "Odpowiedź dostawcy" uzupełnia dostawca. Dla wymagań TWARDYCH wymagamy potwierdzenia i dokumentacji.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0"/>
        <w:gridCol w:w="1100"/>
        <w:gridCol w:w="3526"/>
        <w:tblGridChange w:id="0">
          <w:tblGrid>
            <w:gridCol w:w="4400"/>
            <w:gridCol w:w="1100"/>
            <w:gridCol w:w="3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Wymaganie techniczne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Priorytet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Odpowiedź dostawcy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API i integracja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API RESTful z pełną dokumentacją OpenAPI/Swagger dostępną publicznie lub na żądanie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Dostępne środowisko sandbox do testów i integracji przed produkcją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Average time to first call (pierwsze działające żądanie API) &lt; 24 godziny dla doświadczonego dewelopera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Obsługa webhooks do asynchronicznego odbioru wyników weryfikacji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SDK dostępne dla co najmniej jednej platformy (iOS, Android, JavaScript/TypeScript)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Wersjonowanie API - wsteczna kompatybilność gwarantowana przez min. 12 miesięcy po zmianie wersji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Środowiska i wydajność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obsługuje zarówno web (desktop i mobile browser) jak i natywne aplikacje mobilne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Czas odpowiedzi API (latencja p95) &lt; 3 sekund dla wywołań synchronicznych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Przepustowość systemu: obsługa min. [wpisz wolumen] żądań weryfikacji na dobę bez degradacji SLA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System dostępny 24/7 z SLA określonym w Sekcji 5 (nie tylko w godzinach biznesowych)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Architektura, przenośność i vendor lock-in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Zmiana lub dodanie metody weryfikacji nie wymaga nowej integracji technicznej po stronie klienta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agreguje wielu sub-dostawców weryfikacji przez jedno API (model hubowy)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2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Format danych eksportowanych z systemu jest otwarty i udokumentowany (np. JSON, XML)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zapewnia wsparcie migracji danych/historii weryfikacji przy zakończeniu współpracy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Panel administracyjny i backoffice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Panel webowy do zarządzania procesami, przeglądania historii weryfikacji i raportów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Role i uprawnienia: możliwość definiowania ról (admin, operator, audytor) z różnymi prawami dostępu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Eksport danych i raportów do CSV/XLSX bezpośrednio z panelu bez konieczności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17"/>
                <w:szCs w:val="17"/>
                <w:rtl w:val="0"/>
              </w:rPr>
              <w:t xml:space="preserve">MIĘKKIE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Logi dostępu do systemu (kto, kiedy, jakie działanie) przechowywane min. 12 miesięcy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17"/>
                <w:szCs w:val="17"/>
                <w:rtl w:val="0"/>
              </w:rPr>
              <w:t xml:space="preserve">TWARDE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Odpowiedź dostawcy...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5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SLA i dostępność systemu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Uzupełnij kolumnę "Wymagany minimum" zgodnie z potrzebami Twojej organizacji. Dostawca uzupełnia pozostałe kolumny.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2200"/>
        <w:gridCol w:w="1813"/>
        <w:gridCol w:w="1813"/>
        <w:tblGridChange w:id="0">
          <w:tblGrid>
            <w:gridCol w:w="3200"/>
            <w:gridCol w:w="2200"/>
            <w:gridCol w:w="1813"/>
            <w:gridCol w:w="1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Parametr SLA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Wymagany minimum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Oferta Dostawcy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Oferta Dostawcy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4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Dostępność i uptime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Dostępność usługi (uptime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99,9%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Okna serwisowe (maintenance) - maksymalna łączna niedostępność / miesiąc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max 4h/miesiąc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Historia uptime za ostatnie 12 miesięcy (dostawca dołącza raport)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Wymagamy raportu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5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Czas odpowiedzi API (latencja)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Latencja p50 (mediana) - wywołania synchroniczne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&lt; 1 500 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Latencja p95 - wywołania synchroniczne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&lt; 3 000 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Latencja p99 - wywołania synchroniczne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&lt; 5 000 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6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Obsługa incydentów i wsparcie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Czas reakcji na incydent krytyczny (P1 - usługa niedostępna)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&lt; 30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Czas reakcji na incydent poważny (P2 - degradacja)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&lt; 2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Czas rozwiązania incydentu P1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&lt; 4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Dostępność wsparcia technicznego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24/7 / 8x5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Kanał zgłaszania incydentów (e-mail / telefon / system ticketowy)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Wymagamy min. 2 kanałów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Dedykowany opiekun klienta (Customer Success / Account Manager)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opcjonalnie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Kary umowne za niedotrzymanie SLA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Mechanizm kredytów SLA (service credits) za naruszenie uptime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Wymagamy mechanizmu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8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Maksymalny poziom kredytu SLA jako % opłaty miesięcznej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np. do 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Dostawca wpisuje...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6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Bezpieczeństwo danych i lokalizacja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(*) Pola obowiązkowe dla organizacji przetwarzających dane osobowe w zakresie KYC. Dostawca zaznacza TAK lub NIE i dołącza dokumentację na żądanie.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700"/>
        <w:gridCol w:w="700"/>
        <w:gridCol w:w="3126"/>
        <w:tblGridChange w:id="0">
          <w:tblGrid>
            <w:gridCol w:w="4500"/>
            <w:gridCol w:w="700"/>
            <w:gridCol w:w="700"/>
            <w:gridCol w:w="3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Wymaganie bezpieczeństwa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Komentarz / dokumentacja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9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Lokalizacja przetwarzania i przechowywania danych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Dane osobowe klientów przetwarzane i przechowywane wyłącznie na terenie EOG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Dane biometryczne (wizerunek, odciski palców) przechowywane wyłącznie na terenie 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Serwery produkcyjne zlokalizowane w Polsce lub UE (podaj kraj i dostawcę chmury / data center)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A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Brak transferu danych do krajów trzecich (poza EOG) bez odrębnej zgody lub mechanizmu SCCs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Szyfrowanie i ochrona danych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Dane w tranzycie szyfrowane za pomocą TLS 1.2 lub wyższego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Dane biometryczne w spoczynku szyfrowane AES-256 lub równoważnym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B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Klucze szyfrujące zarządzane przez dostawcę z możliwością BYOK (bring your own key) - opcjonalnie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Pseudonimizacja lub anonimizacja danych po upływie okresu retencji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Kontrola dostępu i bezpieczeństwo operacyjne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Dostęp do danych produkcyjnych wyłącznie dla uprawnionych pracowników dostawcy z logowaniem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C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Polityka least-privilege: pracownicy dostawcy mają dostęp tylko do danych niezbędnych do ich roli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Obowiązkowe MFA (Multi-Factor Authentication) dla wszystkich kont administracyjnych po stronie dostawcy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Regularne przeglądy uprawnień (min. co 6 miesięcy)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D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Testy bezpieczeństwa i zarządzanie podatnościami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Regularne testy penetracyjne (min. 1 x rok) przeprowadzane przez niezależny podmiot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Program zarządzania podatnościami (vulnerability management) z SLA na czas naprawy krytycznych podatności &lt; 30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Program bug bounty lub odpowiedzialnego ujawniania podatności (responsible disclosure)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E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Procedury naruszenia bezpieczeństwa (breach notification)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Dostawca zobowiązuje się do notyfikacji o naruszeniu danych w ciągu 24 godzin od jego wykrycia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(*) Dostawca posiada udokumentowaną procedurę reagowania na incydenty bezpieczeństwa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zapewnia wsparcie w raportowaniu naruszenia do UODO przez klienta (jako administrator)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999999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1F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Szczegóły / dokumentacja...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7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Arkusz scoringowy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 porównanie ofert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Skala ocen: 1 = nie spełnia / 2 = poniżej oczekiwań / 3 = spełnia / 4 = powyżej oczekiwań / 5 = wybitnie. Wynik = Ocena x Waga. Zsumuj wyniki dla każdego dostawcy.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800"/>
        <w:gridCol w:w="1900"/>
        <w:gridCol w:w="1663"/>
        <w:gridCol w:w="1663"/>
        <w:tblGridChange w:id="0">
          <w:tblGrid>
            <w:gridCol w:w="3000"/>
            <w:gridCol w:w="800"/>
            <w:gridCol w:w="1900"/>
            <w:gridCol w:w="1663"/>
            <w:gridCol w:w="16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Kryterium oceny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 oceniamy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Dostawca A(ocena 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76dde" w:space="0" w:sz="4" w:val="single"/>
              <w:left w:color="176dde" w:space="0" w:sz="4" w:val="single"/>
              <w:bottom w:color="176dde" w:space="0" w:sz="4" w:val="single"/>
              <w:right w:color="176dde" w:space="0" w:sz="4" w:val="single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Dostawca B(ocena 1-5)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1. Zgodność regulacyjna i certyfikaty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22"/>
                <w:szCs w:val="22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17"/>
                <w:szCs w:val="17"/>
                <w:rtl w:val="0"/>
              </w:rPr>
              <w:t xml:space="preserve">Spełnienie wymagań AML, eIDAS, RODO. Posiadane certyfikaty (ISO 27001, SOC 2). Udokumentowana ścieżka audytowa.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2. Funkcjonalność i metody weryfikacji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22"/>
                <w:szCs w:val="22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17"/>
                <w:szCs w:val="17"/>
                <w:rtl w:val="0"/>
              </w:rPr>
              <w:t xml:space="preserve">Liczba i jakość dostępnych metod. Liveness check. Jakość raportu. Completion rate. UX ścieżki klienta.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3. Integracja techniczna i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22"/>
                <w:szCs w:val="22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17"/>
                <w:szCs w:val="17"/>
                <w:rtl w:val="0"/>
              </w:rPr>
              <w:t xml:space="preserve">Jakość API i dokumentacji. Dostępność sandboxa. SDK. Czas i złożoność integracji. Wsparcie techniczne podczas wdrożenia.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0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4. SLA, dostępność i bezpieczeństwo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22"/>
                <w:szCs w:val="22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17"/>
                <w:szCs w:val="17"/>
                <w:rtl w:val="0"/>
              </w:rPr>
              <w:t xml:space="preserve">Zadeklarowany uptime. Latencja p95. Czas reakcji na incydenty. Lokalizacja danych. Polityka bezpieczeństwa.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5. Model cenowy i TCO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76dde"/>
                <w:sz w:val="22"/>
                <w:szCs w:val="22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17"/>
                <w:szCs w:val="17"/>
                <w:rtl w:val="0"/>
              </w:rPr>
              <w:t xml:space="preserve">Cena per weryfikacja + abonament. Koszt integracji. Koszt utrzymania. Koszt ewentualnej migracji. Transparentność cennika.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1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Ocena 1-5 + uzasadnienie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100" w:before="2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2"/>
          <w:szCs w:val="22"/>
          <w:rtl w:val="0"/>
        </w:rPr>
        <w:t xml:space="preserve">Wynik końcowy</w:t>
      </w: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013"/>
        <w:gridCol w:w="3013"/>
        <w:tblGridChange w:id="0">
          <w:tblGrid>
            <w:gridCol w:w="3000"/>
            <w:gridCol w:w="3013"/>
            <w:gridCol w:w="30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Podsumowanie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Dostawca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333d" w:space="0" w:sz="4" w:val="single"/>
              <w:left w:color="29333d" w:space="0" w:sz="4" w:val="single"/>
              <w:bottom w:color="29333d" w:space="0" w:sz="4" w:val="single"/>
              <w:right w:color="29333d" w:space="0" w:sz="4" w:val="single"/>
            </w:tcBorders>
            <w:shd w:fill="29333d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Dostawca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Wynik ważony łączny (maks. 500 pkt)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Suma = ? pkt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Suma = ? pkt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Rekomendacja po scoringu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NIE / WARUNKOWO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NIE / WARUNKOWO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Uwagi i zastrzeżenia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7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Dodaj komentarz...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Dodaj komentarz...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2f4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Decyzja o PoC (Sekcja 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2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bbbbbb"/>
                <w:sz w:val="18"/>
                <w:szCs w:val="18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after="16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Bdr>
          <w:left w:color="e07b00" w:space="8" w:sz="20" w:val="single"/>
        </w:pBdr>
        <w:spacing w:after="12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07b00"/>
          <w:sz w:val="19"/>
          <w:szCs w:val="19"/>
          <w:rtl w:val="0"/>
        </w:rPr>
        <w:t xml:space="preserve">Ważne:  </w:t>
      </w:r>
      <w:r w:rsidDel="00000000" w:rsidR="00000000" w:rsidRPr="00000000">
        <w:rPr>
          <w:rFonts w:ascii="Arial" w:cs="Arial" w:eastAsia="Arial" w:hAnsi="Arial"/>
          <w:b w:val="0"/>
          <w:bCs w:val="0"/>
          <w:color w:val="29333d"/>
          <w:sz w:val="19"/>
          <w:szCs w:val="19"/>
          <w:rtl w:val="0"/>
        </w:rPr>
        <w:t xml:space="preserve">Scoring na papierze to punkt wyjścia, nie ostateczna decyzja. Zweryfikuj wyniki na realnych danych w ramach proof of concept (Sekcja 8) przed podpisaniem umowy rocznej.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Bdr>
          <w:bottom w:color="176dde" w:space="6" w:sz="12" w:val="single"/>
        </w:pBdr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76dde"/>
          <w:sz w:val="28"/>
          <w:szCs w:val="28"/>
          <w:rtl w:val="0"/>
        </w:rPr>
        <w:t xml:space="preserve">SEKCJA 8  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Klauzula PoC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8"/>
          <w:szCs w:val="28"/>
          <w:rtl w:val="0"/>
        </w:rPr>
        <w:t xml:space="preserve"> wzór do włączenia do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1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Poniższy tekst to gotowy wzór klauzuli PoC do włączenia do umowy z wybranym dostawcą lub jako osobne porozumienie poprzedzające umowę główną. Dostosuj zaznaczone pola do swojego przypadku.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"/>
        <w:gridCol w:w="8826"/>
        <w:tblGridChange w:id="0">
          <w:tblGrid>
            <w:gridCol w:w="200"/>
            <w:gridCol w:w="8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76dde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232">
            <w:pPr>
              <w:spacing w:after="12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bf4ff" w:val="clear"/>
            <w:tcMar>
              <w:top w:w="240.0" w:type="dxa"/>
              <w:left w:w="24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233">
            <w:pPr>
              <w:spacing w:after="1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22"/>
                <w:szCs w:val="22"/>
                <w:rtl w:val="0"/>
              </w:rPr>
              <w:t xml:space="preserve">§ [X]. Proof of Concept (Pilotaż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22"/>
                <w:szCs w:val="22"/>
                <w:rtl w:val="0"/>
              </w:rPr>
              <w:t xml:space="preserve">ystemu)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1.  Strony uzgadniają przeprowadzenie pilotażu systemu weryfikacji tożsamości ("PoC") przed wejściem w życie umowy głównej.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4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2.  Zakres PoC obejmuje: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a) integrację z [NAZWA SYSTEMU / ŚRODOWISKO] po stronie Zamawiającego,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b) przeprowadzenie co najmniej [LICZBA, np. 50] weryfikacji na realnych lub syntetycznych danych testowych,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c) weryfikację scenariuszy brzegowych wskazanych przez Zamawiającego (lista w Załączniku nr [X]),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d) dostarczenie raportów weryfikacji dla każdej przeprowadzonej identyfikacji.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3.  Czas trwania PoC: [LICZBA, np. 14] dni roboczych od dnia uruchomienia środowiska testowego.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4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33d"/>
                <w:sz w:val="19"/>
                <w:szCs w:val="19"/>
                <w:rtl w:val="0"/>
              </w:rPr>
              <w:t xml:space="preserve">4.  Kryteria zaliczenia PoC ("Progi Sukcesu"):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a) wskaźnik completion rate &gt;= [LICZBA, np. 85%] dla przeprowadzonych weryfikacji,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b) mediana czasu weryfikacji (od inicjacji do wyniku) &lt;= [LICZBA, np. 180] sekund,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c) dostępność środowiska testowego &gt;= [LICZBA, np. 99%] w czasie trwania PoC,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d) poprawne wygenerowanie raportu weryfikacji dla &gt;= [LICZBA, np. 95%] zakończonych sesji.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4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5.  W przypadku nieosiągnięcia Progów Sukcesu Zamawiający może: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a) zrezygnować z zawarcia umowy głównej bez ponoszenia jakichkolwiek kosztów,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2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b) wydłużyć PoC o [LICZBA, np. 7] dni roboczych na warunkach uzgodnionych przez Strony,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     c) zawrzeć umowę główną z zastrzeżeniem spełnienia warunków w terminie [LICZBA, np. 30] dni.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6.  Koszty PoC: [np. PoC jest bezpłatny / Opłata wynosi [KWOTA] PLN netto i zostanie odliczona od pierwszej faktury po zawarciu umowy głównej].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7.  Dostawca zapewnia dedykowane wsparcie techniczne w wymiarze min. [LICZBA] godzin na tydzień w trakcie PoC.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spacing w:after="20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after="100" w:before="2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22"/>
          <w:szCs w:val="22"/>
          <w:rtl w:val="0"/>
        </w:rPr>
        <w:t xml:space="preserve">Sygnały ostrzegawcze - kiedy odrzucić dostawcę</w:t>
      </w: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8626"/>
        <w:tblGridChange w:id="0">
          <w:tblGrid>
            <w:gridCol w:w="400"/>
            <w:gridCol w:w="8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392b" w:space="0" w:sz="4" w:val="single"/>
              <w:left w:color="c0392b" w:space="0" w:sz="4" w:val="single"/>
              <w:bottom w:color="c0392b" w:space="0" w:sz="4" w:val="single"/>
              <w:right w:color="c0392b" w:space="0" w:sz="4" w:val="single"/>
            </w:tcBorders>
            <w:shd w:fill="c0392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392b" w:space="0" w:sz="4" w:val="single"/>
              <w:left w:color="c0392b" w:space="0" w:sz="4" w:val="single"/>
              <w:bottom w:color="c0392b" w:space="0" w:sz="4" w:val="single"/>
              <w:right w:color="c0392b" w:space="0" w:sz="4" w:val="single"/>
            </w:tcBorders>
            <w:shd w:fill="c0392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Sygnał ostrzegawczy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22"/>
                <w:szCs w:val="22"/>
                <w:rtl w:val="0"/>
              </w:rPr>
              <w:t xml:space="preserve">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odmawia PoC lub uzależnia go od podpisania umowy rocznej z góry.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22"/>
                <w:szCs w:val="22"/>
                <w:rtl w:val="0"/>
              </w:rPr>
              <w:t xml:space="preserve">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nie udostępnia środowiska sandbox przed podpisaniem NDA lub umowy wstępnej.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22"/>
                <w:szCs w:val="22"/>
                <w:rtl w:val="0"/>
              </w:rPr>
              <w:t xml:space="preserve">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Dokumentacja API dostępna dopiero po podpisaniu umowy - niemożliwa weryfikacja przez dział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22"/>
                <w:szCs w:val="22"/>
                <w:rtl w:val="0"/>
              </w:rPr>
              <w:t xml:space="preserve">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nie może podać historycznych danych uptime za ostatnie 12 miesięcy.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22"/>
                <w:szCs w:val="22"/>
                <w:rtl w:val="0"/>
              </w:rPr>
              <w:t xml:space="preserve">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Umowa nie zawiera mechanizmu kredytów SLA ani kar za niedotrzymanie dostępności.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22"/>
                <w:szCs w:val="22"/>
                <w:rtl w:val="0"/>
              </w:rPr>
              <w:t xml:space="preserve">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7f9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9333d"/>
                <w:sz w:val="19"/>
                <w:szCs w:val="19"/>
                <w:rtl w:val="0"/>
              </w:rPr>
              <w:t xml:space="preserve">Dostawca nie jest gotowy podpisać umowy powierzenia przetwarzania danych (DPA) przed wdrożeniem.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spacing w:after="24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Bdr>
          <w:bottom w:color="cccccc" w:space="4" w:sz="4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8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8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18"/>
          <w:szCs w:val="18"/>
          <w:rtl w:val="0"/>
        </w:rPr>
        <w:t xml:space="preserve">Przydatne zasoby:  </w:t>
      </w:r>
      <w:r w:rsidDel="00000000" w:rsidR="00000000" w:rsidRPr="00000000">
        <w:rPr>
          <w:rFonts w:ascii="Arial" w:cs="Arial" w:eastAsia="Arial" w:hAnsi="Arial"/>
          <w:b w:val="0"/>
          <w:bCs w:val="0"/>
          <w:color w:val="176dde"/>
          <w:sz w:val="18"/>
          <w:szCs w:val="18"/>
          <w:rtl w:val="0"/>
        </w:rPr>
        <w:t xml:space="preserve">autenti.com/blog/pilotaz-kyc  |  autenti.com/blog/jak-wybrac-system-weryfikacji-tozsamosci  |  autenti.com/blog/zmiana-dostawcy-kyc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29333d"/>
          <w:sz w:val="18"/>
          <w:szCs w:val="18"/>
          <w:rtl w:val="0"/>
        </w:rPr>
        <w:t xml:space="preserve">Pytania i konsultacje:  </w:t>
      </w:r>
      <w:r w:rsidDel="00000000" w:rsidR="00000000" w:rsidRPr="00000000">
        <w:rPr>
          <w:rFonts w:ascii="Arial" w:cs="Arial" w:eastAsia="Arial" w:hAnsi="Arial"/>
          <w:b w:val="0"/>
          <w:bCs w:val="0"/>
          <w:color w:val="999999"/>
          <w:sz w:val="18"/>
          <w:szCs w:val="18"/>
          <w:rtl w:val="0"/>
        </w:rPr>
        <w:t xml:space="preserve">autenti.com  |  Bezplatna konsultacja: autenti.com/formularz-rozmowy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Bdr>
        <w:top w:color="cccccc" w:space="4" w:sz="4" w:val="single"/>
      </w:pBdr>
      <w:spacing w:before="80" w:lineRule="auto"/>
      <w:jc w:val="right"/>
      <w:rPr/>
    </w:pPr>
    <w:r w:rsidDel="00000000" w:rsidR="00000000" w:rsidRPr="00000000">
      <w:rPr>
        <w:rFonts w:ascii="Arial" w:cs="Arial" w:eastAsia="Arial" w:hAnsi="Arial"/>
        <w:b w:val="0"/>
        <w:bCs w:val="0"/>
        <w:color w:val="999999"/>
        <w:sz w:val="16"/>
        <w:szCs w:val="16"/>
        <w:rtl w:val="0"/>
      </w:rPr>
      <w:t xml:space="preserve">Autenti eID  |  autenti.com  |  Strona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Bdr>
        <w:bottom w:color="176dde" w:space="4" w:sz="6" w:val="single"/>
      </w:pBdr>
      <w:spacing w:after="120" w:lineRule="auto"/>
      <w:rPr/>
    </w:pPr>
    <w:r w:rsidDel="00000000" w:rsidR="00000000" w:rsidRPr="00000000">
      <w:rPr/>
      <w:drawing>
        <wp:inline distB="0" distT="0" distL="0" distR="0">
          <wp:extent cx="1047750" cy="2000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200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color w:val="999999"/>
        <w:sz w:val="16"/>
        <w:szCs w:val="16"/>
        <w:rtl w:val="0"/>
      </w:rPr>
      <w:t xml:space="preserve">        Szablon RFP </w:t>
    </w:r>
    <w:r w:rsidDel="00000000" w:rsidR="00000000" w:rsidRPr="00000000">
      <w:rPr>
        <w:color w:val="999999"/>
        <w:sz w:val="16"/>
        <w:szCs w:val="16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0"/>
        <w:bCs w:val="0"/>
        <w:color w:val="999999"/>
        <w:sz w:val="16"/>
        <w:szCs w:val="16"/>
        <w:rtl w:val="0"/>
      </w:rPr>
      <w:t xml:space="preserve"> System weryfikacji tożsamości klientów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9333d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color w:val="2e74b5"/>
      <w:sz w:val="32"/>
      <w:szCs w:val="32"/>
    </w:rPr>
  </w:style>
  <w:style w:type="paragraph" w:styleId="Heading2">
    <w:name w:val="heading 2"/>
    <w:basedOn w:val="Normal"/>
    <w:next w:val="Normal"/>
    <w:pPr/>
    <w:rPr>
      <w:color w:val="2e74b5"/>
      <w:sz w:val="26"/>
      <w:szCs w:val="26"/>
    </w:rPr>
  </w:style>
  <w:style w:type="paragraph" w:styleId="Heading3">
    <w:name w:val="heading 3"/>
    <w:basedOn w:val="Normal"/>
    <w:next w:val="Normal"/>
    <w:pPr/>
    <w:rPr>
      <w:color w:val="1f4d78"/>
      <w:sz w:val="24"/>
      <w:szCs w:val="24"/>
    </w:rPr>
  </w:style>
  <w:style w:type="paragraph" w:styleId="Heading4">
    <w:name w:val="heading 4"/>
    <w:basedOn w:val="Normal"/>
    <w:next w:val="Normal"/>
    <w:pPr/>
    <w:rPr>
      <w:i w:val="1"/>
      <w:iCs w:val="1"/>
      <w:color w:val="2e74b5"/>
    </w:rPr>
  </w:style>
  <w:style w:type="paragraph" w:styleId="Heading5">
    <w:name w:val="heading 5"/>
    <w:basedOn w:val="Normal"/>
    <w:next w:val="Normal"/>
    <w:pPr/>
    <w:rPr>
      <w:color w:val="2e74b5"/>
    </w:rPr>
  </w:style>
  <w:style w:type="paragraph" w:styleId="Heading6">
    <w:name w:val="heading 6"/>
    <w:basedOn w:val="Normal"/>
    <w:next w:val="Normal"/>
    <w:pPr/>
    <w:rPr>
      <w:color w:val="1f4d78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